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BB" w:rsidRPr="00463B77" w:rsidRDefault="00E755BB" w:rsidP="00E755BB">
      <w:pPr>
        <w:shd w:val="clear" w:color="auto" w:fill="FFFFFF"/>
        <w:spacing w:after="105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444444"/>
          <w:spacing w:val="-5"/>
          <w:kern w:val="36"/>
          <w:sz w:val="28"/>
          <w:szCs w:val="28"/>
          <w:lang w:eastAsia="hr-BA"/>
        </w:rPr>
      </w:pPr>
      <w:r w:rsidRPr="00463B77">
        <w:rPr>
          <w:rFonts w:ascii="Roboto Slab" w:eastAsia="Times New Roman" w:hAnsi="Roboto Slab" w:cs="Times New Roman"/>
          <w:b/>
          <w:bCs/>
          <w:color w:val="444444"/>
          <w:spacing w:val="-5"/>
          <w:kern w:val="36"/>
          <w:sz w:val="28"/>
          <w:szCs w:val="28"/>
          <w:lang w:eastAsia="hr-BA"/>
        </w:rPr>
        <w:t>Obavijest o boravišnoj taksi i članarini</w:t>
      </w:r>
    </w:p>
    <w:p w:rsidR="00E755BB" w:rsidRPr="0009514D" w:rsidRDefault="00E755BB" w:rsidP="00E755B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hr-BA"/>
        </w:rPr>
      </w:pPr>
      <w:r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hr-BA"/>
        </w:rPr>
        <w:t xml:space="preserve">BORAVIŠNA TAKSA - </w:t>
      </w:r>
      <w:r w:rsidRPr="008051D4"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hr-BA"/>
        </w:rPr>
        <w:t>Zakon o turizmu („Službene novine KS“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hr-BA"/>
        </w:rPr>
        <w:t>,</w:t>
      </w:r>
      <w:r w:rsidRPr="008051D4"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hr-BA"/>
        </w:rPr>
        <w:t xml:space="preserve"> br. 19/16, 31/17 i 34/17)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4540EF"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>Član 77</w:t>
      </w:r>
      <w:r w:rsidRPr="00936D27"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>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- </w:t>
      </w:r>
      <w:r w:rsidRPr="00122B77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Boravišna taksa je paušalni novčani iznos koji plaća lice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, domaći ili strani državljanin,</w:t>
      </w:r>
      <w:r w:rsidRPr="00122B77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koje izvan svog prebivališta koristi usluge smještaja u smještajnom objektu u kojem se obavlja turistička ili ugostiteljska djelatnost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.</w:t>
      </w: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Boravišna taksa se plaća</w:t>
      </w: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po svakom ostvarenom noćenju.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936D27"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>Član 79.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– Naplatu boravišne takse vrši pravno i fizičko lice koje pruža usluge smještaja. </w:t>
      </w:r>
      <w:r w:rsidRPr="003B52F0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Davalac usluga naplaćuje boravišnu taksu istovremeno sa naplatom usluge smještaja.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</w:t>
      </w:r>
      <w:r w:rsidRPr="003B52F0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Ako davalac usluga ne naplati boravišnu taksu, dužan je da na svoj teret uplati iznos nenaplaćene boravišne takse.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</w:pPr>
      <w:r w:rsidRPr="00AA627C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Pravna i fizička lica, obveznici uplate boravišne takse, obavezni su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u</w:t>
      </w:r>
      <w:r w:rsidRPr="00AA627C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plać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iva</w:t>
      </w:r>
      <w:r w:rsidRPr="00AA627C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ti boravišnu taksu na </w:t>
      </w:r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Depozitni</w:t>
      </w:r>
      <w:r w:rsidRPr="00113062"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 xml:space="preserve"> račun Kantona Sarajevo</w:t>
      </w:r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, Bosna Bank International d.d. broj: 141-196-53200084-75, k</w:t>
      </w:r>
      <w:r w:rsidRPr="00113062"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 xml:space="preserve">onto prihoda: 722423, </w:t>
      </w:r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s</w:t>
      </w:r>
      <w:r w:rsidRPr="00113062"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vrha uplate: Boravišna taksa po kantonalnim propisim</w:t>
      </w:r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a.</w:t>
      </w:r>
    </w:p>
    <w:p w:rsidR="00E755BB" w:rsidRPr="00F61258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</w:p>
    <w:p w:rsidR="00E755BB" w:rsidRPr="004E442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Odlukom o visini boravišne takse na području Kantona Sarajevo za 20</w:t>
      </w:r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20</w:t>
      </w:r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 xml:space="preserve">. godinu („Službene novine KS“, broj </w:t>
      </w:r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49</w:t>
      </w:r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/1</w:t>
      </w:r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9</w:t>
      </w:r>
      <w:bookmarkStart w:id="0" w:name="_GoBack"/>
      <w:bookmarkEnd w:id="0"/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 xml:space="preserve">)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određena je visina boravišne takse.</w:t>
      </w:r>
    </w:p>
    <w:p w:rsidR="00E755BB" w:rsidRDefault="00E755BB" w:rsidP="00E755B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AA627C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 </w:t>
      </w:r>
    </w:p>
    <w:p w:rsidR="00E755BB" w:rsidRPr="008357DA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(1) Boravišna taksa za 20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20</w:t>
      </w: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. godinu iznosi </w:t>
      </w:r>
      <w:r w:rsidRPr="002E36A3"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2,00 KM</w:t>
      </w: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.</w:t>
      </w:r>
    </w:p>
    <w:p w:rsidR="00E755BB" w:rsidRPr="008357DA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(2) Dnevna boravišna taksa za 20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20</w:t>
      </w: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. godinu iznosi </w:t>
      </w:r>
      <w:r w:rsidRPr="002E36A3"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1,00 KM</w:t>
      </w: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.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(3) Za fizička lica koja pružaju usluge smještaja u domaćinstvu i seoskom domaćinstvu utvrđuje se boravišna taksa u godišnjem paušalnom iznosu od </w:t>
      </w:r>
      <w:r w:rsidRPr="002E36A3"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50,00 KM</w:t>
      </w: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, za svaki krevet i smještajnu jedinicu, koja </w:t>
      </w:r>
      <w:r w:rsidRPr="002E36A3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se koristi za pružanje usluga smještaja.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</w:p>
    <w:p w:rsidR="00E755BB" w:rsidRPr="008357DA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Obveznik uplate boravišne takse Turističkoj zajednici Kantona Sarajevo je:</w:t>
      </w:r>
    </w:p>
    <w:p w:rsidR="00E755BB" w:rsidRPr="008357DA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a) pravno ili fizičko lice koje pruža uslugu noćenja u smještajnom objektu u kojem se obavlja ugostiteljska djelatnost,</w:t>
      </w:r>
    </w:p>
    <w:p w:rsidR="00E755BB" w:rsidRPr="008357DA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b) putnička agencija organizator putovanja, koja plaća dnevnu boravišnu taksu po svakom grupnom dolasku turista u turističko mjesto bez noćenja,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8357DA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c) fizičko lice koje pruža uslugu smještaja u domaćinstvu i seoskom domaćinstv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u.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Boravišnu taksu ne plaćaju djeca do 12 godina starosti, a boravišnu taksu umanjenu za 50% plaćaju lica od 12 do 18 godina starosti. 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</w:p>
    <w:p w:rsidR="00E755BB" w:rsidRPr="004D3F81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E47921"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>Napomena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: Prilikom uplate boravišne takse u polja „poziv na broj“ i „budžetska organizacija“ upisati nule.</w:t>
      </w:r>
    </w:p>
    <w:p w:rsidR="00E755BB" w:rsidRPr="008051D4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hr-BA"/>
        </w:rPr>
      </w:pPr>
      <w:r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hr-BA"/>
        </w:rPr>
        <w:lastRenderedPageBreak/>
        <w:t xml:space="preserve">ČLANARINA - </w:t>
      </w:r>
      <w:r w:rsidRPr="008051D4"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hr-BA"/>
        </w:rPr>
        <w:t>Zakon o turizmu („Službene novine KS“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hr-BA"/>
        </w:rPr>
        <w:t>,</w:t>
      </w:r>
      <w:r w:rsidRPr="008051D4"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hr-BA"/>
        </w:rPr>
        <w:t xml:space="preserve"> br. 19/16, 31/17 i 34/17)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</w:pP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9B6AD4"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>Član 82 a.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 </w:t>
      </w:r>
      <w:r w:rsidRPr="008051D4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-</w:t>
      </w:r>
      <w:r w:rsidRPr="009B6AD4"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 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Članarinu Turističkoj zajednici dužni su plaćati obavezni i dobrovoljni članovi Turističke zajednice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. </w:t>
      </w:r>
    </w:p>
    <w:p w:rsidR="00E755BB" w:rsidRPr="008051D4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</w:pPr>
      <w:r w:rsidRPr="009B6AD4"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>Član 82 b.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 </w:t>
      </w:r>
      <w:r w:rsidRPr="008051D4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-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 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Visina članarine koju plaćaju članovi Turističke zajednice zavisi od pravnog statusa obveznika (fizičko ili pravno lice).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Zavisno od pravnog statusa obveznici plaćanja plaćaju članarinu po sljedećim procentima:</w:t>
      </w:r>
    </w:p>
    <w:p w:rsidR="00E755BB" w:rsidRPr="00CB0C15" w:rsidRDefault="00E755BB" w:rsidP="00E755BB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CB0C15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Pravno lice . . . . . . . . . . . . . . . . . . . . . . 0,05%</w:t>
      </w:r>
    </w:p>
    <w:p w:rsidR="00E755BB" w:rsidRPr="00CB0C15" w:rsidRDefault="00E755BB" w:rsidP="00E755BB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CB0C15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Fizičko lice . . . . . . . . . . . . . . . . . . . . . 0,025%</w:t>
      </w:r>
    </w:p>
    <w:p w:rsidR="00E755BB" w:rsidRPr="000825DA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</w:pPr>
      <w:r w:rsidRPr="009B6AD4"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>Član 82 c.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 </w:t>
      </w:r>
      <w:r w:rsidRPr="008051D4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-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 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Osnovica za obračun članarine pravnom licu je ukupan prihod ostvaren u djelatnostima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koje utvrđuje ministar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pravilnikom</w:t>
      </w:r>
      <w:r w:rsidRPr="009B6AD4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, u skladu sa Klasifikacijom djelatnosti Bosne i Hercegovine.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Ukupan prihod u smislu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Z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akona, čine svi prihodi koje je pravno lice dužno iskazati u računu dobiti i gubitka u skladu sa propisima o računovodstvu.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 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Osnovica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se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utvrđuje pojedinačno za svaku poslovnu jedinicu, odnosno organizacioni dio izvan sjedišta pravnog lica.</w:t>
      </w:r>
    </w:p>
    <w:p w:rsidR="00E755BB" w:rsidRPr="007452F8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Osnovica za obračun članarine fizičkog lica je ukupan prihod ostvaren u djelatnostima utvđenim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pravilnikom.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 w:rsidRPr="009B6AD4"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>Član 82 d.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 </w:t>
      </w:r>
      <w:r w:rsidRPr="00F5342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-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 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Pravna i fizička lica članarinu plaćaju Turističkoj zajednici.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 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Pravna i fizička lica uplaćuju akontaciju članarine do 15.-og u mjesecu za prethodni mjesec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/tromjesečje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na </w:t>
      </w:r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Depozitni</w:t>
      </w:r>
      <w:r w:rsidRPr="00113062"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 xml:space="preserve"> račun Kantona Sarajevo</w:t>
      </w:r>
      <w:r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 xml:space="preserve">, Bosna Bank International d.d. broj: 141-196-53200084-75, </w:t>
      </w:r>
      <w:r w:rsidRPr="0013602F"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hr-BA"/>
        </w:rPr>
        <w:t>vrsta prihoda 722428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. Obaveznik čiji godišnji iznos članarine prelazi 300 KM u odnosu na visinu obračunate članarine iz prethodne godine, akontaciju plaćaju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mjesečno, a obaveznik koji plaća godišnju članarinu manju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od 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300 KM dužan je članarinu uplaćivati tromjesečno.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 </w:t>
      </w:r>
      <w:r w:rsidRPr="007452F8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Uz dokaz o uplati članarine obveznici su dužni Turističkoj zajednici dostaviti i obrazac obračuna članarine iz kojeg je jasno vidljivo u kojoj općini obveznik ima sjedište/ prebivalište, odnosno u kojoj mu je izdato odobrenje za obavljanje djelatnosti.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</w:pP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</w:pP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>Pravilnik o djelatnostima obeveznih članova tzks („Službene novine KS“, br. 44/16)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</w:pP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>Pravilnik o izmjeni Pravilnika o djelatnostima obaveznih članova tzks („Službene novine KS“, br. 2/18)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</w:pP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>Pravilnik o dopuni Pravilnika o djelatnostimas obaveznih članova tzks („Službene novine KS“, br. 12/18)</w:t>
      </w:r>
    </w:p>
    <w:p w:rsidR="00E755BB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</w:pPr>
    </w:p>
    <w:p w:rsidR="00E755BB" w:rsidRPr="00607810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</w:pP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Napomena: </w:t>
      </w:r>
      <w:r w:rsidRPr="00923151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Zakon,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  <w:t xml:space="preserve">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p</w:t>
      </w:r>
      <w:r w:rsidRPr="00607810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ravilnike, kao i obrasce možete naći na linku: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„</w:t>
      </w:r>
      <w:r w:rsidRPr="00607810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regulativa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“</w:t>
      </w:r>
      <w:r w:rsidRPr="00607810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 xml:space="preserve"> na internet stranici Turističke zajednice Kantona Sarajevo </w:t>
      </w:r>
      <w:hyperlink r:id="rId5" w:history="1">
        <w:r w:rsidRPr="00607810">
          <w:rPr>
            <w:rStyle w:val="Hyperlink"/>
            <w:rFonts w:ascii="Open Sans" w:eastAsia="Times New Roman" w:hAnsi="Open Sans" w:cs="Times New Roman"/>
            <w:sz w:val="21"/>
            <w:szCs w:val="21"/>
            <w:lang w:eastAsia="hr-BA"/>
          </w:rPr>
          <w:t>www.visitsarajevo.ba</w:t>
        </w:r>
      </w:hyperlink>
      <w:r w:rsidRPr="00607810">
        <w:rPr>
          <w:rFonts w:ascii="Open Sans" w:eastAsia="Times New Roman" w:hAnsi="Open Sans" w:cs="Times New Roman"/>
          <w:color w:val="000000"/>
          <w:sz w:val="21"/>
          <w:szCs w:val="21"/>
          <w:lang w:eastAsia="hr-BA"/>
        </w:rPr>
        <w:t>.</w:t>
      </w:r>
    </w:p>
    <w:p w:rsidR="00E755BB" w:rsidRPr="00F53428" w:rsidRDefault="00E755BB" w:rsidP="00E755B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hr-BA"/>
        </w:rPr>
      </w:pPr>
    </w:p>
    <w:p w:rsidR="00BB3312" w:rsidRDefault="00E755BB"/>
    <w:sectPr w:rsidR="00BB3312" w:rsidSect="0059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1903"/>
    <w:multiLevelType w:val="hybridMultilevel"/>
    <w:tmpl w:val="D39EFD6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BB"/>
    <w:rsid w:val="001032F4"/>
    <w:rsid w:val="005E00A5"/>
    <w:rsid w:val="00E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2D73"/>
  <w15:chartTrackingRefBased/>
  <w15:docId w15:val="{BCE095D2-C40A-4D6F-A7CD-6C5D5868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B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itsarajev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2019-12-30T07:06:00Z</dcterms:created>
  <dcterms:modified xsi:type="dcterms:W3CDTF">2019-12-30T07:07:00Z</dcterms:modified>
</cp:coreProperties>
</file>